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190</w:t>
      </w:r>
    </w:p>
    <w:p>
      <w:r>
        <w:t>Bundesgericht (BGE), 1992-10-27, DE</w:t>
      </w:r>
    </w:p>
    <w:p>
      <w:r>
        <w:rPr>
          <w:b/>
        </w:rPr>
        <w:t xml:space="preserve">Quelle: </w:t>
      </w:r>
      <w:r>
        <w:t>https://mcp.opencaselaw.ch/entscheid/bge_119 IV 190</w:t>
      </w:r>
    </w:p>
    <w:p>
      <w:r>
        <w:t>FR: ATF 119 IV 190</w:t>
      </w:r>
    </w:p>
    <w:p>
      <w:r>
        <w:t>IT: DTF 119 IV 190</w:t>
      </w:r>
    </w:p>
    <w:p>
      <w:pPr>
        <w:pStyle w:val="Heading2"/>
      </w:pPr>
      <w:r>
        <w:t>Regeste</w:t>
      </w:r>
    </w:p>
    <w:p>
      <w:r>
        <w:t>Regeste Art. 43 Ziff. 3 und 44 Ziff. 3 StGB, Art. 5 VwVG, Art. 97 Abs. 1 OG, Art. 268 BStP; Entscheid über die Aussichtslosigkeit einer Massnahme; Rechtsweg. Der Entscheid, ob und wann eine Behandlung nach Art. 43 oder 44 StGB als erfolglos anzusehen ist, ist ein Vollzugsentscheid, der letztinstanzlich mit der Verwaltungsgerichtsbeschwerde anzufechten ist.</w:t>
      </w:r>
    </w:p>
    <w:p>
      <w:pPr>
        <w:pStyle w:val="Heading2"/>
      </w:pPr>
      <w:r>
        <w:t>Erwägungen</w:t>
      </w:r>
    </w:p>
    <w:p>
      <w:r>
        <w:rPr>
          <w:b/>
        </w:rPr>
        <w:t>E. 1</w:t>
      </w:r>
    </w:p>
    <w:p>
      <w:r>
        <w:t>Der Beschwerdeführer wendet ein, die verhängte Massnahme sei zu Unrecht als aussichtslos bezeichnet und aufgehoben worden. Bei Erfolg- oder Aussichtslosigkeit der Behandlung entscheidet nach Art. 43 Ziff. 3 und 44 Ziff. 3 StGB der Richter, ob und welche Sanktion an die Stelle der ursprünglichen Massnahme treten soll. Aus diesen Bestimmungen geht nicht ausdrücklich hervor, welche Behörde zu entscheiden hat, ob und wann eine Behandlung erfolglos, unzweckmässig, für Dritte gefährlich oder aussichtslos ist. Wenn das kantonale Recht die Beurteilung dieser Frage der administrativen Vollzugsbehörde überträgt, wie dies vorliegend der Fall ist, so äussert sich diese einzig über die Wirksamkeit der verfügten Massnahme, wobei sie sich auf die Erfahrungen stützt, die während der Durchführung der Massnahme gemacht wurden. Auch wenn die Behörde zum Schluss kommt, dass die Weiterführung der Behandlung aussichtslos und diese deshalb abzubrechen sei, wird mit dem Entscheid noch nichts am Urteil, mit dem die Massnahme angeordnet wurde, geändert: Das Urteil bleibt bestehen, es wird einzig festgestellt, dass die angeordnete Massnahme ihren Zweck nicht erreichen kann und auf deren weiteren Vollzug zu verzichten ist. Die Verfügung ist somit eine typische Vollzugsentscheidung, die nach Ausschöpfung der kantonalen Rechtsmittel mit der Verwaltungsgerichtsbeschwerde angefochten werden kann ( Art. 5 VwVG ; Art. 97 ff. OG ). Das Departement für Justiz und Sicherheit des Kantons Thurgau entschied am 21. September 1992, dass es aussichtslos sei, den Beschwerdeführer weiter im Massnahmevollzug zu belassen und hob die nach Art. 44 StGB verhängte stationäre Massnahme auf. Gegen BGE 119 IV 190 S. 192 diese Verfügung, die in Rechtskraft erwachsen ist, wäre nach Ergreifen der kantonalen Rechtsmittel die Verwaltungsgerichtsbeschwerde offengestanden, wurde indessen nicht ergriffen. Im heute angefochtenen Urteil hatte die Vorinstanz hingegen nur noch über den Vollzug der aufgeschobenen Strafen oder die Anordnung einer anderen Massnahme zu entscheiden. In der Nichtigkeitsbeschwerde gegen diesen Entscheid kann die festgestellte Aussichtslosigkeit der Massnahme nicht mehr angefochten werden. Auf den Einwand des Beschwerdeführers ist deshalb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